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93DAD" w:rsidRPr="00793DAD" w:rsidTr="00B61D5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793DAD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ΣΥΣΚΕΥΗ ΠΡΟΣΔΙΟΡΙΣΜΟΥ ΥΓΡΑΣΙΑΣ</w:t>
            </w:r>
            <w:bookmarkEnd w:id="0"/>
          </w:p>
        </w:tc>
      </w:tr>
      <w:tr w:rsidR="00793DAD" w:rsidRPr="00793DAD" w:rsidTr="00B61D5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93DAD" w:rsidRPr="00793DAD" w:rsidTr="00B61D5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93DAD" w:rsidRPr="00793DAD" w:rsidTr="00B61D5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93DA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93DA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93DA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93DA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93DA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93DAD" w:rsidRPr="00793DAD" w:rsidTr="00B61D51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Calibri" w:hAnsi="Calibri" w:cs="Arial"/>
                <w:sz w:val="22"/>
                <w:lang w:eastAsia="zh-CN"/>
              </w:rPr>
            </w:pP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Να διαθέτει Ευανάγνωστη οθόνη υγρών κρυστάλλων (</w:t>
            </w:r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LCD</w:t>
            </w: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) για δυνατότητα ανάγνωσης τουλάχιστο των εξής παραμέτρων: α)Χρόνος της προηγούμενης ξήρανσης, β)Τρέχουσα θερμοκρασία, γ)Ενεργό πρόγραμμα(διαδικασία) ξήρανσης, δ)Το επιλεγμένο προφίλ ξήρανσης, ε) Τρέχουσα % περιεκτικότητα σε υγρασία,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στ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) Κριτήρια επιλογής λήξης της ξήρανσης.</w:t>
            </w:r>
          </w:p>
        </w:tc>
        <w:tc>
          <w:tcPr>
            <w:tcW w:w="1080" w:type="dxa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93DAD" w:rsidRPr="00793DAD" w:rsidTr="00B61D51">
        <w:trPr>
          <w:trHeight w:val="428"/>
          <w:jc w:val="center"/>
        </w:trPr>
        <w:tc>
          <w:tcPr>
            <w:tcW w:w="1124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Βάρος δείγματος: έως 200 </w:t>
            </w:r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gr</w:t>
            </w: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  το λιγότερο. </w:t>
            </w:r>
          </w:p>
        </w:tc>
        <w:tc>
          <w:tcPr>
            <w:tcW w:w="1080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93DAD" w:rsidRPr="00793DAD" w:rsidTr="00B61D51">
        <w:trPr>
          <w:trHeight w:val="428"/>
          <w:jc w:val="center"/>
        </w:trPr>
        <w:tc>
          <w:tcPr>
            <w:tcW w:w="1124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Αναγνωσιμότητα: 0,01</w:t>
            </w:r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g</w:t>
            </w: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 / 0.05% ή και καλύτερη.</w:t>
            </w:r>
          </w:p>
        </w:tc>
        <w:tc>
          <w:tcPr>
            <w:tcW w:w="1080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93DAD" w:rsidRPr="00793DAD" w:rsidTr="00B61D51">
        <w:trPr>
          <w:trHeight w:val="428"/>
          <w:jc w:val="center"/>
        </w:trPr>
        <w:tc>
          <w:tcPr>
            <w:tcW w:w="1124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Επανα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ληψιμότητ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α: 1,5% ή και κα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λύτερη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.</w:t>
            </w:r>
          </w:p>
        </w:tc>
        <w:tc>
          <w:tcPr>
            <w:tcW w:w="1080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93DAD" w:rsidRPr="00793DAD" w:rsidTr="00B61D51">
        <w:trPr>
          <w:trHeight w:val="428"/>
          <w:jc w:val="center"/>
        </w:trPr>
        <w:tc>
          <w:tcPr>
            <w:tcW w:w="1124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Η θέρμανση να πραγματοποιείται με λάμπα αλογόνου υποχρεωτικά.</w:t>
            </w:r>
          </w:p>
        </w:tc>
        <w:tc>
          <w:tcPr>
            <w:tcW w:w="1080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93DAD" w:rsidRPr="00793DAD" w:rsidTr="00B61D51">
        <w:trPr>
          <w:trHeight w:val="1026"/>
          <w:jc w:val="center"/>
        </w:trPr>
        <w:tc>
          <w:tcPr>
            <w:tcW w:w="1124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Εύρος θερμοκρασίας: 40-190 </w:t>
            </w:r>
            <w:r w:rsidRPr="00793DAD">
              <w:rPr>
                <w:rFonts w:ascii="Calibri" w:hAnsi="Calibri" w:cs="Arial"/>
                <w:sz w:val="22"/>
                <w:szCs w:val="22"/>
                <w:vertAlign w:val="superscript"/>
                <w:lang w:eastAsia="zh-CN"/>
              </w:rPr>
              <w:t>ο</w:t>
            </w:r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C</w:t>
            </w: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 το λιγότερο με αναγνωσιμότητα 1</w:t>
            </w:r>
            <w:r w:rsidRPr="00793DAD">
              <w:rPr>
                <w:sz w:val="22"/>
                <w:szCs w:val="22"/>
                <w:lang w:eastAsia="zh-CN"/>
              </w:rPr>
              <w:t>º</w:t>
            </w:r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C</w:t>
            </w: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080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93DAD" w:rsidRPr="00793DAD" w:rsidTr="00B61D51">
        <w:trPr>
          <w:trHeight w:val="428"/>
          <w:jc w:val="center"/>
        </w:trPr>
        <w:tc>
          <w:tcPr>
            <w:tcW w:w="1124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Εύρος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μέτρησης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υγρ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 xml:space="preserve">ασίας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έως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 xml:space="preserve"> 100%.</w:t>
            </w:r>
          </w:p>
        </w:tc>
        <w:tc>
          <w:tcPr>
            <w:tcW w:w="1080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93DAD" w:rsidRPr="00793DAD" w:rsidTr="00B61D51">
        <w:trPr>
          <w:trHeight w:val="428"/>
          <w:jc w:val="center"/>
        </w:trPr>
        <w:tc>
          <w:tcPr>
            <w:tcW w:w="1124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Να διαθέτει παράθυρο για την παρατήρηση του δείγματος.</w:t>
            </w:r>
          </w:p>
        </w:tc>
        <w:tc>
          <w:tcPr>
            <w:tcW w:w="1080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93DAD" w:rsidRPr="00793DAD" w:rsidTr="00B61D51">
        <w:trPr>
          <w:trHeight w:val="428"/>
          <w:jc w:val="center"/>
        </w:trPr>
        <w:tc>
          <w:tcPr>
            <w:tcW w:w="1124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Να γίνεται βαθμονόμηση με εξωτερικό πρότυπο βάρος.</w:t>
            </w:r>
          </w:p>
        </w:tc>
        <w:tc>
          <w:tcPr>
            <w:tcW w:w="1080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93DAD" w:rsidRPr="00793DAD" w:rsidTr="00B61D51">
        <w:trPr>
          <w:trHeight w:val="428"/>
          <w:jc w:val="center"/>
        </w:trPr>
        <w:tc>
          <w:tcPr>
            <w:tcW w:w="1124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Να παρέχεται με τουλάχιστον πενήντα αλουμινένια ταψάκια τοποθέτησης δείγματος. </w:t>
            </w:r>
          </w:p>
        </w:tc>
        <w:tc>
          <w:tcPr>
            <w:tcW w:w="1080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93DAD" w:rsidRPr="00793DAD" w:rsidTr="00B61D51">
        <w:trPr>
          <w:trHeight w:val="428"/>
          <w:jc w:val="center"/>
        </w:trPr>
        <w:tc>
          <w:tcPr>
            <w:tcW w:w="1124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Ο αναλυτής υγρασίας  να  παραδοθεί με κατάλληλη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αντικραδασμικη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 βάση. Ο προμηθευτής να τεκμηριώσει την καταλληλόλητα  της </w:t>
            </w:r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lastRenderedPageBreak/>
              <w:t xml:space="preserve">προσφερόμενης από αυτόν βάσης για την απορρόφηση τυχόν  κραδασμών από τη συσκευή . Επιπλέον η βάση θα πρέπει να έχει  υποστεί ειδική κατεργασία με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φωτοκαταλυτικό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 υλικό, ώστε  να εξασφαλίζεται ο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αυτοκαθαρισμός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 της, αλλά και η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αντιμικροβιακή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 xml:space="preserve"> δράση της.  Ο προμηθευτής οφείλει να περιγράψει υποχρεωτικά με σαφήνεια τη διεργασία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φωτοκατάλυσης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eastAsia="zh-CN"/>
              </w:rPr>
              <w:t>, το χρησιμοποιούμενο υλικό αυτής, καθώς και να προσκομίσει σχετική έγκριτη και επιστημονική τεκμηρίωση.</w:t>
            </w:r>
          </w:p>
        </w:tc>
        <w:tc>
          <w:tcPr>
            <w:tcW w:w="1080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93DAD" w:rsidRPr="00793DAD" w:rsidTr="00B61D51">
        <w:trPr>
          <w:trHeight w:val="428"/>
          <w:jc w:val="center"/>
        </w:trPr>
        <w:tc>
          <w:tcPr>
            <w:tcW w:w="1124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lastRenderedPageBreak/>
              <w:t>12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Εγγύηση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γι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 xml:space="preserve">α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δύο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 xml:space="preserve"> (2) </w:t>
            </w:r>
            <w:proofErr w:type="spellStart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έτη</w:t>
            </w:r>
            <w:proofErr w:type="spellEnd"/>
            <w:r w:rsidRPr="00793DAD">
              <w:rPr>
                <w:rFonts w:ascii="Calibri" w:hAnsi="Calibri" w:cs="Arial"/>
                <w:sz w:val="22"/>
                <w:szCs w:val="22"/>
                <w:lang w:val="en-GB" w:eastAsia="zh-CN"/>
              </w:rPr>
              <w:t>.</w:t>
            </w:r>
          </w:p>
        </w:tc>
        <w:tc>
          <w:tcPr>
            <w:tcW w:w="1080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93DAD" w:rsidRPr="00793DAD" w:rsidTr="00B61D5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sz w:val="18"/>
                <w:szCs w:val="18"/>
              </w:rPr>
              <w:t>13</w:t>
            </w:r>
          </w:p>
        </w:tc>
        <w:tc>
          <w:tcPr>
            <w:tcW w:w="3261" w:type="dxa"/>
            <w:vAlign w:val="center"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93DA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93DA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93DAD" w:rsidRPr="00793DAD" w:rsidRDefault="00793DAD" w:rsidP="00793DA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93DA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93DAD" w:rsidRDefault="00B43CAA" w:rsidP="00793DAD"/>
    <w:sectPr w:rsidR="00B43CAA" w:rsidRPr="00793DA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93DAD"/>
    <w:rsid w:val="007D2A3E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206B5AD8</Template>
  <TotalTime>0</TotalTime>
  <Pages>2</Pages>
  <Words>257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2025-12-01T11:07:00Z</dcterms:created>
  <dcterms:modified xsi:type="dcterms:W3CDTF">2025-12-01T11:07:00Z</dcterms:modified>
</cp:coreProperties>
</file>